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6754" w14:textId="77777777" w:rsidR="002E0B20" w:rsidRDefault="00F50488" w:rsidP="002E0B20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pict w14:anchorId="5D1178D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1.25pt;margin-top:-8.75pt;width:384.95pt;height:32pt;z-index:25165875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溶液から物質を取り出す方法②　～再結晶～"/>
          </v:shape>
        </w:pict>
      </w:r>
    </w:p>
    <w:p w14:paraId="7624BA02" w14:textId="77777777" w:rsidR="00386ADF" w:rsidRDefault="00F50488" w:rsidP="00386ADF">
      <w:pPr>
        <w:rPr>
          <w:rFonts w:ascii="HG丸ｺﾞｼｯｸM-PRO" w:eastAsia="HG丸ｺﾞｼｯｸM-PRO"/>
          <w:szCs w:val="21"/>
        </w:rPr>
      </w:pPr>
      <w:r>
        <w:pict w14:anchorId="02553A88">
          <v:shape id="_x0000_s1096" type="#_x0000_t136" style="position:absolute;left:0;text-align:left;margin-left:5.85pt;margin-top:9pt;width:4in;height:17.4pt;z-index:25166182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冷却による再結晶を見てみよう！"/>
          </v:shape>
        </w:pict>
      </w:r>
    </w:p>
    <w:p w14:paraId="7A00DD47" w14:textId="77777777" w:rsidR="00386ADF" w:rsidRDefault="00F50488" w:rsidP="00386AD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1AB31AE5">
          <v:line id="_x0000_s1097" style="position:absolute;left:0;text-align:left;z-index:251662848" from="417.6pt,16.35pt" to="444.6pt,83.55pt">
            <v:stroke endarrow="block"/>
          </v:line>
        </w:pict>
      </w:r>
      <w:r w:rsidR="00F00143">
        <w:rPr>
          <w:noProof/>
        </w:rPr>
        <w:drawing>
          <wp:anchor distT="0" distB="0" distL="114300" distR="114300" simplePos="0" relativeHeight="251655680" behindDoc="1" locked="0" layoutInCell="1" allowOverlap="1" wp14:anchorId="641B9277" wp14:editId="10CED6D2">
            <wp:simplePos x="0" y="0"/>
            <wp:positionH relativeFrom="column">
              <wp:posOffset>5531485</wp:posOffset>
            </wp:positionH>
            <wp:positionV relativeFrom="paragraph">
              <wp:posOffset>100965</wp:posOffset>
            </wp:positionV>
            <wp:extent cx="1018540" cy="1813560"/>
            <wp:effectExtent l="19050" t="0" r="0" b="0"/>
            <wp:wrapNone/>
            <wp:docPr id="74" name="図 74" descr="d11-1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11-1h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ADF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各薬品を軽く熱して溶かす</w:t>
      </w:r>
    </w:p>
    <w:p w14:paraId="0E35E50E" w14:textId="77777777" w:rsidR="00C56553" w:rsidRDefault="00386ADF" w:rsidP="00386AD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目的</w:t>
      </w:r>
      <w:r>
        <w:rPr>
          <w:rFonts w:ascii="HG丸ｺﾞｼｯｸM-PRO" w:eastAsia="HG丸ｺﾞｼｯｸM-PRO" w:hint="eastAsia"/>
          <w:szCs w:val="21"/>
        </w:rPr>
        <w:t>・・・物質の分離の方法である「</w:t>
      </w:r>
      <w:r w:rsidRPr="00B3664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color w:val="FFFFFF"/>
          <w:szCs w:val="21"/>
        </w:rPr>
        <w:t xml:space="preserve">再結晶　</w:t>
      </w:r>
      <w:r>
        <w:rPr>
          <w:rFonts w:ascii="HG丸ｺﾞｼｯｸM-PRO" w:eastAsia="HG丸ｺﾞｼｯｸM-PRO" w:hint="eastAsia"/>
          <w:szCs w:val="21"/>
        </w:rPr>
        <w:t xml:space="preserve">」をマスターする。　</w:t>
      </w:r>
    </w:p>
    <w:p w14:paraId="44A11218" w14:textId="77777777" w:rsidR="00386ADF" w:rsidRPr="00655ABF" w:rsidRDefault="00386ADF" w:rsidP="00386AD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14:paraId="723FEB8C" w14:textId="77777777" w:rsidR="00386ADF" w:rsidRDefault="00386ADF" w:rsidP="00386ADF">
      <w:pPr>
        <w:rPr>
          <w:rFonts w:ascii="HG丸ｺﾞｼｯｸM-PRO" w:eastAsia="HG丸ｺﾞｼｯｸM-PRO"/>
          <w:szCs w:val="21"/>
        </w:rPr>
      </w:pPr>
      <w:r w:rsidRPr="003C35FA">
        <w:rPr>
          <w:rFonts w:ascii="HG丸ｺﾞｼｯｸM-PRO" w:eastAsia="HG丸ｺﾞｼｯｸM-PRO" w:hint="eastAsia"/>
          <w:b/>
          <w:szCs w:val="21"/>
        </w:rPr>
        <w:t>準備</w:t>
      </w:r>
      <w:r>
        <w:rPr>
          <w:rFonts w:ascii="HG丸ｺﾞｼｯｸM-PRO" w:eastAsia="HG丸ｺﾞｼｯｸM-PRO" w:hint="eastAsia"/>
          <w:szCs w:val="21"/>
        </w:rPr>
        <w:t>・・・</w:t>
      </w:r>
      <w:r w:rsidR="00C56553">
        <w:rPr>
          <w:rFonts w:ascii="HG丸ｺﾞｼｯｸM-PRO" w:eastAsia="HG丸ｺﾞｼｯｸM-PRO" w:hint="eastAsia"/>
          <w:szCs w:val="21"/>
        </w:rPr>
        <w:t xml:space="preserve">酢酸ナトリウム　　</w:t>
      </w:r>
      <w:r w:rsidR="00E503CC">
        <w:rPr>
          <w:rFonts w:ascii="HG丸ｺﾞｼｯｸM-PRO" w:eastAsia="HG丸ｺﾞｼｯｸM-PRO" w:hint="eastAsia"/>
          <w:szCs w:val="21"/>
        </w:rPr>
        <w:t>硝酸カリウム</w:t>
      </w:r>
      <w:r w:rsidR="00C56553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ミョウバン</w:t>
      </w:r>
      <w:r w:rsidR="00C56553">
        <w:rPr>
          <w:rFonts w:ascii="HG丸ｺﾞｼｯｸM-PRO" w:eastAsia="HG丸ｺﾞｼｯｸM-PRO" w:hint="eastAsia"/>
          <w:szCs w:val="21"/>
        </w:rPr>
        <w:t xml:space="preserve">　　硫酸銅</w:t>
      </w:r>
    </w:p>
    <w:p w14:paraId="193C48FB" w14:textId="77777777" w:rsidR="00386ADF" w:rsidRPr="00012446" w:rsidRDefault="00386ADF" w:rsidP="00386AD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試験管立て　</w:t>
      </w:r>
      <w:r w:rsidR="00E503CC">
        <w:rPr>
          <w:rFonts w:ascii="HG丸ｺﾞｼｯｸM-PRO" w:eastAsia="HG丸ｺﾞｼｯｸM-PRO" w:hint="eastAsia"/>
          <w:szCs w:val="21"/>
        </w:rPr>
        <w:t>試験管④</w:t>
      </w:r>
      <w:r>
        <w:rPr>
          <w:rFonts w:ascii="HG丸ｺﾞｼｯｸM-PRO" w:eastAsia="HG丸ｺﾞｼｯｸM-PRO" w:hint="eastAsia"/>
          <w:szCs w:val="21"/>
        </w:rPr>
        <w:t xml:space="preserve">　　　　　　　　</w:t>
      </w:r>
    </w:p>
    <w:p w14:paraId="38C8870C" w14:textId="77777777" w:rsidR="00C56553" w:rsidRDefault="00C56553" w:rsidP="00386ADF">
      <w:pPr>
        <w:rPr>
          <w:rFonts w:ascii="HG丸ｺﾞｼｯｸM-PRO" w:eastAsia="HG丸ｺﾞｼｯｸM-PRO"/>
          <w:b/>
          <w:szCs w:val="21"/>
        </w:rPr>
      </w:pPr>
    </w:p>
    <w:p w14:paraId="7FF1A43B" w14:textId="77777777" w:rsidR="00386ADF" w:rsidRDefault="00386ADF" w:rsidP="00386ADF">
      <w:pPr>
        <w:rPr>
          <w:rFonts w:ascii="HG丸ｺﾞｼｯｸM-PRO" w:eastAsia="HG丸ｺﾞｼｯｸM-PRO"/>
          <w:szCs w:val="21"/>
        </w:rPr>
      </w:pPr>
      <w:r w:rsidRPr="003C35FA">
        <w:rPr>
          <w:rFonts w:ascii="HG丸ｺﾞｼｯｸM-PRO" w:eastAsia="HG丸ｺﾞｼｯｸM-PRO" w:hint="eastAsia"/>
          <w:b/>
          <w:szCs w:val="21"/>
        </w:rPr>
        <w:t>方法</w:t>
      </w:r>
      <w:r>
        <w:rPr>
          <w:rFonts w:ascii="HG丸ｺﾞｼｯｸM-PRO" w:eastAsia="HG丸ｺﾞｼｯｸM-PRO" w:hint="eastAsia"/>
          <w:szCs w:val="21"/>
        </w:rPr>
        <w:t>・・・①　右図のように加熱して温めた薬品の水溶液の入った試験管を</w:t>
      </w:r>
    </w:p>
    <w:p w14:paraId="74367992" w14:textId="77777777" w:rsidR="00386ADF" w:rsidRDefault="00386ADF" w:rsidP="00386ADF">
      <w:pPr>
        <w:ind w:firstLineChars="700" w:firstLine="14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試験管立てに入れて放置して冷やす。</w:t>
      </w:r>
    </w:p>
    <w:p w14:paraId="68E2C5E8" w14:textId="77777777" w:rsidR="00386ADF" w:rsidRDefault="00386ADF" w:rsidP="00386AD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</w:t>
      </w:r>
    </w:p>
    <w:p w14:paraId="5ECF3676" w14:textId="77777777" w:rsidR="00386ADF" w:rsidRDefault="00386ADF" w:rsidP="00386ADF">
      <w:pPr>
        <w:ind w:firstLineChars="40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②　放冷して再結晶の様子を観察する。教科書のＰ６６の写真と比べてみよう。</w:t>
      </w:r>
    </w:p>
    <w:p w14:paraId="4E693D42" w14:textId="77777777" w:rsidR="00193EC4" w:rsidRDefault="00F50488" w:rsidP="002E0B20">
      <w:pPr>
        <w:rPr>
          <w:rFonts w:ascii="HG丸ｺﾞｼｯｸM-PRO" w:eastAsia="HG丸ｺﾞｼｯｸM-PRO"/>
          <w:color w:val="000000"/>
          <w:szCs w:val="21"/>
        </w:rPr>
      </w:pPr>
      <w:r>
        <w:rPr>
          <w:noProof/>
        </w:rPr>
        <w:pict w14:anchorId="6A13E5DE">
          <v:shape id="_x0000_s1031" type="#_x0000_t136" style="position:absolute;left:0;text-align:left;margin-left:3.6pt;margin-top:16.15pt;width:162pt;height:17pt;z-index:25165977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に溶ける限界　飽和について"/>
          </v:shape>
        </w:pict>
      </w:r>
    </w:p>
    <w:p w14:paraId="365FF880" w14:textId="77777777" w:rsidR="00193EC4" w:rsidRDefault="00F00143" w:rsidP="002E0B20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8665C9A" wp14:editId="29FB4974">
            <wp:simplePos x="0" y="0"/>
            <wp:positionH relativeFrom="column">
              <wp:posOffset>2597150</wp:posOffset>
            </wp:positionH>
            <wp:positionV relativeFrom="paragraph">
              <wp:posOffset>104775</wp:posOffset>
            </wp:positionV>
            <wp:extent cx="4352925" cy="3639219"/>
            <wp:effectExtent l="0" t="0" r="0" b="0"/>
            <wp:wrapNone/>
            <wp:docPr id="54" name="図 54" descr="図20溶解量のグラ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図20溶解量のグラ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3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D1314" w14:textId="77777777" w:rsidR="00FD1242" w:rsidRDefault="00AC0074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右のグラフ</w:t>
      </w:r>
      <w:r w:rsidR="00FD1242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 w:hint="eastAsia"/>
          <w:szCs w:val="21"/>
        </w:rPr>
        <w:t>１００ｇの水に溶ける物質の</w:t>
      </w:r>
    </w:p>
    <w:p w14:paraId="4861B22B" w14:textId="77777777" w:rsidR="00AC0074" w:rsidRDefault="00AC0074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質量を</w:t>
      </w:r>
      <w:r w:rsidR="00FD1242">
        <w:rPr>
          <w:rFonts w:ascii="HG丸ｺﾞｼｯｸM-PRO" w:eastAsia="HG丸ｺﾞｼｯｸM-PRO" w:hint="eastAsia"/>
          <w:szCs w:val="21"/>
        </w:rPr>
        <w:t>調べたときの様子である。</w:t>
      </w:r>
    </w:p>
    <w:p w14:paraId="66FCF588" w14:textId="77777777" w:rsidR="00FD1242" w:rsidRDefault="00FD1242" w:rsidP="000A01FC">
      <w:pPr>
        <w:rPr>
          <w:rFonts w:ascii="HG丸ｺﾞｼｯｸM-PRO" w:eastAsia="HG丸ｺﾞｼｯｸM-PRO"/>
          <w:szCs w:val="21"/>
        </w:rPr>
      </w:pPr>
      <w:r w:rsidRPr="00FD1242">
        <w:rPr>
          <w:rFonts w:ascii="HG丸ｺﾞｼｯｸM-PRO" w:eastAsia="HG丸ｺﾞｼｯｸM-PRO" w:hint="eastAsia"/>
          <w:b/>
          <w:i/>
          <w:sz w:val="24"/>
          <w:u w:val="single"/>
        </w:rPr>
        <w:t>問１</w:t>
      </w:r>
      <w:r>
        <w:rPr>
          <w:rFonts w:ascii="HG丸ｺﾞｼｯｸM-PRO" w:eastAsia="HG丸ｺﾞｼｯｸM-PRO" w:hint="eastAsia"/>
          <w:szCs w:val="21"/>
        </w:rPr>
        <w:t xml:space="preserve">　６０℃の水１００ｇにミョウバンは</w:t>
      </w:r>
    </w:p>
    <w:p w14:paraId="1164616A" w14:textId="77777777" w:rsidR="00FD1242" w:rsidRDefault="00FD1242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何ｇ溶けますか？</w:t>
      </w:r>
    </w:p>
    <w:p w14:paraId="52F9CE69" w14:textId="77777777" w:rsidR="00FD1242" w:rsidRPr="00FD1242" w:rsidRDefault="00FD1242" w:rsidP="000A01FC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</w:t>
      </w:r>
      <w:r w:rsidRPr="00FD1242">
        <w:rPr>
          <w:rFonts w:ascii="HG丸ｺﾞｼｯｸM-PRO" w:eastAsia="HG丸ｺﾞｼｯｸM-PRO" w:hint="eastAsia"/>
          <w:szCs w:val="21"/>
          <w:u w:val="single"/>
        </w:rPr>
        <w:t xml:space="preserve">Ａ．　　　　　　</w:t>
      </w:r>
    </w:p>
    <w:p w14:paraId="5470871B" w14:textId="77777777" w:rsidR="00386ADF" w:rsidRDefault="00FD1242" w:rsidP="00386ADF">
      <w:pPr>
        <w:rPr>
          <w:rFonts w:ascii="HG丸ｺﾞｼｯｸM-PRO" w:eastAsia="HG丸ｺﾞｼｯｸM-PRO"/>
          <w:szCs w:val="21"/>
        </w:rPr>
      </w:pPr>
      <w:r w:rsidRPr="00FD1242">
        <w:rPr>
          <w:rFonts w:ascii="HG丸ｺﾞｼｯｸM-PRO" w:eastAsia="HG丸ｺﾞｼｯｸM-PRO" w:hint="eastAsia"/>
          <w:b/>
          <w:i/>
          <w:sz w:val="24"/>
          <w:u w:val="single"/>
        </w:rPr>
        <w:t>問２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386ADF">
        <w:rPr>
          <w:rFonts w:ascii="HG丸ｺﾞｼｯｸM-PRO" w:eastAsia="HG丸ｺﾞｼｯｸM-PRO" w:hint="eastAsia"/>
          <w:szCs w:val="21"/>
        </w:rPr>
        <w:t>２０℃の水１００ｇにミョウバンは</w:t>
      </w:r>
    </w:p>
    <w:p w14:paraId="7BFC0566" w14:textId="77777777" w:rsidR="00FD1242" w:rsidRDefault="00386ADF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何ｇ溶けますか？</w:t>
      </w:r>
    </w:p>
    <w:p w14:paraId="0E681E28" w14:textId="77777777" w:rsidR="00FD1242" w:rsidRDefault="00FD1242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</w:t>
      </w:r>
      <w:r w:rsidRPr="00FD1242">
        <w:rPr>
          <w:rFonts w:ascii="HG丸ｺﾞｼｯｸM-PRO" w:eastAsia="HG丸ｺﾞｼｯｸM-PRO" w:hint="eastAsia"/>
          <w:szCs w:val="21"/>
          <w:u w:val="single"/>
        </w:rPr>
        <w:t xml:space="preserve">Ａ．　　　　　　</w:t>
      </w:r>
    </w:p>
    <w:p w14:paraId="4B59A0FF" w14:textId="77777777" w:rsidR="00AC0074" w:rsidRDefault="00FD1242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このことから次のことがわかる。</w:t>
      </w:r>
    </w:p>
    <w:p w14:paraId="488246E1" w14:textId="77777777" w:rsidR="00FD1242" w:rsidRDefault="00F50488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283DA1E3">
          <v:roundrect id="_x0000_s1081" style="position:absolute;left:0;text-align:left;margin-left:-5.4pt;margin-top:7.95pt;width:207pt;height:117.6pt;z-index:-251658752" arcsize="10923f">
            <v:textbox inset="5.85pt,.7pt,5.85pt,.7pt"/>
          </v:roundrect>
        </w:pict>
      </w:r>
    </w:p>
    <w:p w14:paraId="48E60353" w14:textId="77777777" w:rsidR="00FD1242" w:rsidRDefault="00FD1242" w:rsidP="00FD12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①水の量と（　</w:t>
      </w:r>
      <w:r w:rsidRPr="006F1331">
        <w:rPr>
          <w:rFonts w:ascii="HG丸ｺﾞｼｯｸM-PRO" w:eastAsia="HG丸ｺﾞｼｯｸM-PRO" w:hint="eastAsia"/>
          <w:color w:val="FFFFFF"/>
          <w:szCs w:val="21"/>
        </w:rPr>
        <w:t>温度</w:t>
      </w:r>
      <w:r>
        <w:rPr>
          <w:rFonts w:ascii="HG丸ｺﾞｼｯｸM-PRO" w:eastAsia="HG丸ｺﾞｼｯｸM-PRO" w:hint="eastAsia"/>
          <w:szCs w:val="21"/>
        </w:rPr>
        <w:t xml:space="preserve">　）が同じとき溶ける</w:t>
      </w:r>
    </w:p>
    <w:p w14:paraId="3B1A5BF9" w14:textId="77777777" w:rsidR="00FD1242" w:rsidRDefault="00FD1242" w:rsidP="00FD1242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物質の量は（　　　</w:t>
      </w:r>
      <w:r w:rsidRPr="006F1331">
        <w:rPr>
          <w:rFonts w:ascii="HG丸ｺﾞｼｯｸM-PRO" w:eastAsia="HG丸ｺﾞｼｯｸM-PRO" w:hint="eastAsia"/>
          <w:color w:val="FFFFFF"/>
          <w:szCs w:val="21"/>
        </w:rPr>
        <w:t xml:space="preserve">物質の種類　</w:t>
      </w:r>
      <w:r>
        <w:rPr>
          <w:rFonts w:ascii="HG丸ｺﾞｼｯｸM-PRO" w:eastAsia="HG丸ｺﾞｼｯｸM-PRO" w:hint="eastAsia"/>
          <w:szCs w:val="21"/>
        </w:rPr>
        <w:t xml:space="preserve">　）に</w:t>
      </w:r>
    </w:p>
    <w:p w14:paraId="7D472A9B" w14:textId="77777777" w:rsidR="00FD1242" w:rsidRDefault="00FD1242" w:rsidP="00FD1242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よって決まっている。</w:t>
      </w:r>
    </w:p>
    <w:p w14:paraId="2E3A83A1" w14:textId="77777777" w:rsidR="00AC0074" w:rsidRDefault="00AC0074" w:rsidP="000A01FC">
      <w:pPr>
        <w:rPr>
          <w:rFonts w:ascii="HG丸ｺﾞｼｯｸM-PRO" w:eastAsia="HG丸ｺﾞｼｯｸM-PRO"/>
          <w:szCs w:val="21"/>
        </w:rPr>
      </w:pPr>
    </w:p>
    <w:p w14:paraId="15D89321" w14:textId="77777777" w:rsidR="00AC0074" w:rsidRDefault="00FD1242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②一定量の水に溶ける物質の質量は</w:t>
      </w:r>
    </w:p>
    <w:p w14:paraId="30911216" w14:textId="77777777" w:rsidR="00FD1242" w:rsidRDefault="00FD1242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（　</w:t>
      </w:r>
      <w:r w:rsidRPr="006F1331">
        <w:rPr>
          <w:rFonts w:ascii="HG丸ｺﾞｼｯｸM-PRO" w:eastAsia="HG丸ｺﾞｼｯｸM-PRO" w:hint="eastAsia"/>
          <w:color w:val="FFFFFF"/>
          <w:szCs w:val="21"/>
        </w:rPr>
        <w:t xml:space="preserve">温度　</w:t>
      </w:r>
      <w:r>
        <w:rPr>
          <w:rFonts w:ascii="HG丸ｺﾞｼｯｸM-PRO" w:eastAsia="HG丸ｺﾞｼｯｸM-PRO" w:hint="eastAsia"/>
          <w:szCs w:val="21"/>
        </w:rPr>
        <w:t xml:space="preserve">）によって（　</w:t>
      </w:r>
      <w:r w:rsidRPr="006F1331">
        <w:rPr>
          <w:rFonts w:ascii="HG丸ｺﾞｼｯｸM-PRO" w:eastAsia="HG丸ｺﾞｼｯｸM-PRO" w:hint="eastAsia"/>
          <w:color w:val="FFFFFF"/>
          <w:szCs w:val="21"/>
        </w:rPr>
        <w:t xml:space="preserve">変化する　</w:t>
      </w:r>
      <w:r>
        <w:rPr>
          <w:rFonts w:ascii="HG丸ｺﾞｼｯｸM-PRO" w:eastAsia="HG丸ｺﾞｼｯｸM-PRO" w:hint="eastAsia"/>
          <w:szCs w:val="21"/>
        </w:rPr>
        <w:t>）。</w:t>
      </w:r>
    </w:p>
    <w:p w14:paraId="486F9934" w14:textId="77777777" w:rsidR="00AC0074" w:rsidRDefault="00AC0074" w:rsidP="000A01FC">
      <w:pPr>
        <w:rPr>
          <w:rFonts w:ascii="HG丸ｺﾞｼｯｸM-PRO" w:eastAsia="HG丸ｺﾞｼｯｸM-PRO"/>
          <w:szCs w:val="21"/>
        </w:rPr>
      </w:pPr>
    </w:p>
    <w:p w14:paraId="7C55371B" w14:textId="77777777" w:rsidR="00655ABF" w:rsidRPr="005E2CF8" w:rsidRDefault="00FD1242" w:rsidP="000A01FC">
      <w:pPr>
        <w:rPr>
          <w:rFonts w:ascii="HG丸ｺﾞｼｯｸM-PRO" w:eastAsia="HG丸ｺﾞｼｯｸM-PRO"/>
          <w:w w:val="90"/>
          <w:szCs w:val="21"/>
        </w:rPr>
      </w:pPr>
      <w:r>
        <w:rPr>
          <w:rFonts w:ascii="HG丸ｺﾞｼｯｸM-PRO" w:eastAsia="HG丸ｺﾞｼｯｸM-PRO" w:hint="eastAsia"/>
          <w:w w:val="90"/>
          <w:szCs w:val="21"/>
        </w:rPr>
        <w:t xml:space="preserve">※ </w:t>
      </w:r>
      <w:r w:rsidRPr="00FD1242">
        <w:rPr>
          <w:rFonts w:ascii="HG丸ｺﾞｼｯｸM-PRO" w:eastAsia="HG丸ｺﾞｼｯｸM-PRO" w:hint="eastAsia"/>
          <w:w w:val="90"/>
          <w:szCs w:val="21"/>
        </w:rPr>
        <w:t xml:space="preserve">物質がそれ以上溶けきれなくなったとき（　</w:t>
      </w:r>
      <w:r>
        <w:rPr>
          <w:rFonts w:ascii="HG丸ｺﾞｼｯｸM-PRO" w:eastAsia="HG丸ｺﾞｼｯｸM-PRO" w:hint="eastAsia"/>
          <w:w w:val="90"/>
          <w:szCs w:val="21"/>
        </w:rPr>
        <w:t xml:space="preserve"> </w:t>
      </w:r>
      <w:r w:rsidRPr="006F1331">
        <w:rPr>
          <w:rFonts w:ascii="HG丸ｺﾞｼｯｸM-PRO" w:eastAsia="HG丸ｺﾞｼｯｸM-PRO" w:hint="eastAsia"/>
          <w:color w:val="FFFFFF"/>
          <w:w w:val="90"/>
          <w:szCs w:val="21"/>
        </w:rPr>
        <w:t xml:space="preserve">飽和 </w:t>
      </w:r>
      <w:r w:rsidRPr="00FD1242">
        <w:rPr>
          <w:rFonts w:ascii="HG丸ｺﾞｼｯｸM-PRO" w:eastAsia="HG丸ｺﾞｼｯｸM-PRO" w:hint="eastAsia"/>
          <w:w w:val="90"/>
          <w:szCs w:val="21"/>
        </w:rPr>
        <w:t xml:space="preserve">　）したという。このときの水溶液を（　　</w:t>
      </w:r>
      <w:r>
        <w:rPr>
          <w:rFonts w:ascii="HG丸ｺﾞｼｯｸM-PRO" w:eastAsia="HG丸ｺﾞｼｯｸM-PRO" w:hint="eastAsia"/>
          <w:w w:val="90"/>
          <w:szCs w:val="21"/>
        </w:rPr>
        <w:t xml:space="preserve"> </w:t>
      </w:r>
      <w:r w:rsidRPr="006F1331">
        <w:rPr>
          <w:rFonts w:ascii="HG丸ｺﾞｼｯｸM-PRO" w:eastAsia="HG丸ｺﾞｼｯｸM-PRO" w:hint="eastAsia"/>
          <w:color w:val="FFFFFF"/>
          <w:w w:val="90"/>
          <w:szCs w:val="21"/>
        </w:rPr>
        <w:t xml:space="preserve">飽和水溶液　 </w:t>
      </w:r>
      <w:r w:rsidRPr="00FD1242">
        <w:rPr>
          <w:rFonts w:ascii="HG丸ｺﾞｼｯｸM-PRO" w:eastAsia="HG丸ｺﾞｼｯｸM-PRO" w:hint="eastAsia"/>
          <w:w w:val="90"/>
          <w:szCs w:val="21"/>
        </w:rPr>
        <w:t xml:space="preserve">　）という。</w:t>
      </w:r>
    </w:p>
    <w:p w14:paraId="6C2FF121" w14:textId="77777777" w:rsidR="00386ADF" w:rsidRDefault="00933494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36"/>
          <w:szCs w:val="36"/>
          <w:u w:val="single"/>
        </w:rPr>
        <w:drawing>
          <wp:anchor distT="0" distB="0" distL="114300" distR="114300" simplePos="0" relativeHeight="251673600" behindDoc="1" locked="0" layoutInCell="1" allowOverlap="1" wp14:anchorId="5F784486" wp14:editId="23E9B853">
            <wp:simplePos x="0" y="0"/>
            <wp:positionH relativeFrom="column">
              <wp:posOffset>5406390</wp:posOffset>
            </wp:positionH>
            <wp:positionV relativeFrom="paragraph">
              <wp:posOffset>13335</wp:posOffset>
            </wp:positionV>
            <wp:extent cx="1362075" cy="843189"/>
            <wp:effectExtent l="0" t="0" r="0" b="0"/>
            <wp:wrapNone/>
            <wp:docPr id="2" name="図 2" descr="p138(本)図40塩化ナトリウムの結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138(本)図40塩化ナトリウムの結晶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759B" w14:textId="77777777" w:rsidR="00655ABF" w:rsidRDefault="00F50488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5851145A">
          <v:shape id="_x0000_s1055" type="#_x0000_t136" style="position:absolute;left:0;text-align:left;margin-left:3.6pt;margin-top:-.45pt;width:117pt;height:17.55pt;z-index:25166080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結晶と再結晶"/>
          </v:shape>
        </w:pict>
      </w:r>
    </w:p>
    <w:p w14:paraId="3EA65D1A" w14:textId="77777777" w:rsidR="00655ABF" w:rsidRDefault="00933494" w:rsidP="000A01F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教科書</w:t>
      </w:r>
      <w:r w:rsidR="00655ABF">
        <w:rPr>
          <w:rFonts w:ascii="HG丸ｺﾞｼｯｸM-PRO" w:eastAsia="HG丸ｺﾞｼｯｸM-PRO" w:hint="eastAsia"/>
          <w:szCs w:val="21"/>
        </w:rPr>
        <w:t xml:space="preserve">の写真のように、その物質特有の規則正しい形をした固体を（　</w:t>
      </w:r>
      <w:r w:rsidR="00655ABF" w:rsidRPr="006F1331">
        <w:rPr>
          <w:rFonts w:ascii="HG丸ｺﾞｼｯｸM-PRO" w:eastAsia="HG丸ｺﾞｼｯｸM-PRO" w:hint="eastAsia"/>
          <w:color w:val="FFFFFF"/>
          <w:szCs w:val="21"/>
        </w:rPr>
        <w:t>結晶</w:t>
      </w:r>
      <w:r w:rsidR="00655ABF">
        <w:rPr>
          <w:rFonts w:ascii="HG丸ｺﾞｼｯｸM-PRO" w:eastAsia="HG丸ｺﾞｼｯｸM-PRO" w:hint="eastAsia"/>
          <w:szCs w:val="21"/>
        </w:rPr>
        <w:t xml:space="preserve">　）という。</w:t>
      </w:r>
    </w:p>
    <w:p w14:paraId="0F4E8537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52594F7E" w14:textId="77777777" w:rsidR="00655ABF" w:rsidRDefault="00933494" w:rsidP="000A01FC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986B67C" wp14:editId="00137B35">
            <wp:simplePos x="0" y="0"/>
            <wp:positionH relativeFrom="column">
              <wp:posOffset>4084320</wp:posOffset>
            </wp:positionH>
            <wp:positionV relativeFrom="paragraph">
              <wp:posOffset>278130</wp:posOffset>
            </wp:positionV>
            <wp:extent cx="2654300" cy="1435100"/>
            <wp:effectExtent l="19050" t="0" r="0" b="0"/>
            <wp:wrapNone/>
            <wp:docPr id="58" name="図 58" descr="溶解のモデルと再結晶のモデル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溶解のモデルと再結晶のモデル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143">
        <w:rPr>
          <w:noProof/>
        </w:rPr>
        <w:drawing>
          <wp:anchor distT="0" distB="0" distL="114300" distR="114300" simplePos="0" relativeHeight="251659264" behindDoc="1" locked="0" layoutInCell="1" allowOverlap="1" wp14:anchorId="066A50A9" wp14:editId="37A523E9">
            <wp:simplePos x="0" y="0"/>
            <wp:positionH relativeFrom="column">
              <wp:posOffset>-30480</wp:posOffset>
            </wp:positionH>
            <wp:positionV relativeFrom="paragraph">
              <wp:posOffset>342900</wp:posOffset>
            </wp:positionV>
            <wp:extent cx="4064000" cy="1435100"/>
            <wp:effectExtent l="19050" t="0" r="0" b="0"/>
            <wp:wrapNone/>
            <wp:docPr id="59" name="図 59" descr="図2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図22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ABF">
        <w:rPr>
          <w:rFonts w:ascii="HG丸ｺﾞｼｯｸM-PRO" w:eastAsia="HG丸ｺﾞｼｯｸM-PRO" w:hint="eastAsia"/>
          <w:szCs w:val="21"/>
        </w:rPr>
        <w:t xml:space="preserve">物質をいったん水などの（　</w:t>
      </w:r>
      <w:r w:rsidR="00655ABF" w:rsidRPr="006F1331">
        <w:rPr>
          <w:rFonts w:ascii="HG丸ｺﾞｼｯｸM-PRO" w:eastAsia="HG丸ｺﾞｼｯｸM-PRO" w:hint="eastAsia"/>
          <w:color w:val="FFFFFF"/>
          <w:szCs w:val="21"/>
        </w:rPr>
        <w:t>溶媒</w:t>
      </w:r>
      <w:r w:rsidR="00655ABF">
        <w:rPr>
          <w:rFonts w:ascii="HG丸ｺﾞｼｯｸM-PRO" w:eastAsia="HG丸ｺﾞｼｯｸM-PRO" w:hint="eastAsia"/>
          <w:szCs w:val="21"/>
        </w:rPr>
        <w:t xml:space="preserve">　）に溶かし、温度を下げたりしてふたたび（</w:t>
      </w:r>
      <w:r w:rsidR="00655ABF" w:rsidRPr="006F1331">
        <w:rPr>
          <w:rFonts w:ascii="HG丸ｺﾞｼｯｸM-PRO" w:eastAsia="HG丸ｺﾞｼｯｸM-PRO" w:hint="eastAsia"/>
          <w:color w:val="FFFFFF"/>
          <w:szCs w:val="21"/>
        </w:rPr>
        <w:t xml:space="preserve">　結晶</w:t>
      </w:r>
      <w:r w:rsidR="00655ABF">
        <w:rPr>
          <w:rFonts w:ascii="HG丸ｺﾞｼｯｸM-PRO" w:eastAsia="HG丸ｺﾞｼｯｸM-PRO" w:hint="eastAsia"/>
          <w:szCs w:val="21"/>
        </w:rPr>
        <w:t xml:space="preserve">　）として取り出す操作のことを（　　</w:t>
      </w:r>
      <w:r w:rsidR="00655ABF" w:rsidRPr="006F1331">
        <w:rPr>
          <w:rFonts w:ascii="HG丸ｺﾞｼｯｸM-PRO" w:eastAsia="HG丸ｺﾞｼｯｸM-PRO" w:hint="eastAsia"/>
          <w:color w:val="FFFFFF"/>
          <w:szCs w:val="21"/>
        </w:rPr>
        <w:t>再結晶</w:t>
      </w:r>
      <w:r w:rsidR="00655ABF">
        <w:rPr>
          <w:rFonts w:ascii="HG丸ｺﾞｼｯｸM-PRO" w:eastAsia="HG丸ｺﾞｼｯｸM-PRO" w:hint="eastAsia"/>
          <w:szCs w:val="21"/>
        </w:rPr>
        <w:t xml:space="preserve">　　）という。</w:t>
      </w:r>
    </w:p>
    <w:p w14:paraId="474B7DAC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362114B7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2E24732B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4763056C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3CD3E10B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276D308C" w14:textId="77777777" w:rsidR="00655ABF" w:rsidRDefault="00655ABF" w:rsidP="000A01FC">
      <w:pPr>
        <w:rPr>
          <w:rFonts w:ascii="HG丸ｺﾞｼｯｸM-PRO" w:eastAsia="HG丸ｺﾞｼｯｸM-PRO"/>
          <w:szCs w:val="21"/>
        </w:rPr>
      </w:pPr>
    </w:p>
    <w:p w14:paraId="22EC44A0" w14:textId="77777777" w:rsidR="002E0B20" w:rsidRDefault="005A16FC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2E0B20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</w:t>
      </w:r>
      <w:r w:rsidR="002E0B20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="002E0B20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</w:p>
    <w:sectPr w:rsidR="002E0B20" w:rsidSect="00C97EAD">
      <w:pgSz w:w="11906" w:h="16838" w:code="9"/>
      <w:pgMar w:top="567" w:right="567" w:bottom="794" w:left="6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9899" w14:textId="77777777" w:rsidR="00F50488" w:rsidRDefault="00F50488" w:rsidP="00F00143">
      <w:r>
        <w:separator/>
      </w:r>
    </w:p>
  </w:endnote>
  <w:endnote w:type="continuationSeparator" w:id="0">
    <w:p w14:paraId="57A50C83" w14:textId="77777777" w:rsidR="00F50488" w:rsidRDefault="00F50488" w:rsidP="00F0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9512" w14:textId="77777777" w:rsidR="00F50488" w:rsidRDefault="00F50488" w:rsidP="00F00143">
      <w:r>
        <w:separator/>
      </w:r>
    </w:p>
  </w:footnote>
  <w:footnote w:type="continuationSeparator" w:id="0">
    <w:p w14:paraId="0D8B3A02" w14:textId="77777777" w:rsidR="00F50488" w:rsidRDefault="00F50488" w:rsidP="00F0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20"/>
    <w:rsid w:val="00012446"/>
    <w:rsid w:val="00057676"/>
    <w:rsid w:val="00062716"/>
    <w:rsid w:val="0009392F"/>
    <w:rsid w:val="000A01FC"/>
    <w:rsid w:val="00150C21"/>
    <w:rsid w:val="00193EC4"/>
    <w:rsid w:val="00193F3A"/>
    <w:rsid w:val="001E3D15"/>
    <w:rsid w:val="00205715"/>
    <w:rsid w:val="00233757"/>
    <w:rsid w:val="00243E5B"/>
    <w:rsid w:val="00274917"/>
    <w:rsid w:val="002C365C"/>
    <w:rsid w:val="002E0B20"/>
    <w:rsid w:val="00340551"/>
    <w:rsid w:val="00374C1D"/>
    <w:rsid w:val="00386ADF"/>
    <w:rsid w:val="004D1DDA"/>
    <w:rsid w:val="004D42AB"/>
    <w:rsid w:val="00556DAA"/>
    <w:rsid w:val="00575B51"/>
    <w:rsid w:val="005A16FC"/>
    <w:rsid w:val="005E2CF8"/>
    <w:rsid w:val="00642769"/>
    <w:rsid w:val="00655ABF"/>
    <w:rsid w:val="006B18BF"/>
    <w:rsid w:val="006B6835"/>
    <w:rsid w:val="006C688A"/>
    <w:rsid w:val="006D0C9E"/>
    <w:rsid w:val="006F1331"/>
    <w:rsid w:val="00703909"/>
    <w:rsid w:val="008634ED"/>
    <w:rsid w:val="008C2CF2"/>
    <w:rsid w:val="008E5D48"/>
    <w:rsid w:val="00921E14"/>
    <w:rsid w:val="00933494"/>
    <w:rsid w:val="009A0E5A"/>
    <w:rsid w:val="009A671C"/>
    <w:rsid w:val="009B3D5D"/>
    <w:rsid w:val="009D5919"/>
    <w:rsid w:val="00A033A7"/>
    <w:rsid w:val="00A66A47"/>
    <w:rsid w:val="00AB6F38"/>
    <w:rsid w:val="00AC0074"/>
    <w:rsid w:val="00AC2849"/>
    <w:rsid w:val="00B20EB5"/>
    <w:rsid w:val="00B36644"/>
    <w:rsid w:val="00B47139"/>
    <w:rsid w:val="00B73324"/>
    <w:rsid w:val="00B86E36"/>
    <w:rsid w:val="00C11FBA"/>
    <w:rsid w:val="00C14D45"/>
    <w:rsid w:val="00C4380E"/>
    <w:rsid w:val="00C47BB5"/>
    <w:rsid w:val="00C56553"/>
    <w:rsid w:val="00C76C43"/>
    <w:rsid w:val="00C9754C"/>
    <w:rsid w:val="00C97EAD"/>
    <w:rsid w:val="00CA3497"/>
    <w:rsid w:val="00CE034F"/>
    <w:rsid w:val="00D32BE9"/>
    <w:rsid w:val="00D85E4C"/>
    <w:rsid w:val="00DC6EBD"/>
    <w:rsid w:val="00DF51F0"/>
    <w:rsid w:val="00E4562F"/>
    <w:rsid w:val="00E503CC"/>
    <w:rsid w:val="00E97C92"/>
    <w:rsid w:val="00EA0EB2"/>
    <w:rsid w:val="00F00143"/>
    <w:rsid w:val="00F112ED"/>
    <w:rsid w:val="00F24A6D"/>
    <w:rsid w:val="00F50488"/>
    <w:rsid w:val="00F96F1E"/>
    <w:rsid w:val="00FD0384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60E38"/>
  <w15:docId w15:val="{8CA7B7FE-0BEF-4628-8695-DBE6E97D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0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1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1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10</cp:revision>
  <cp:lastPrinted>2020-04-05T04:44:00Z</cp:lastPrinted>
  <dcterms:created xsi:type="dcterms:W3CDTF">2013-01-09T02:08:00Z</dcterms:created>
  <dcterms:modified xsi:type="dcterms:W3CDTF">2020-04-05T04:45:00Z</dcterms:modified>
</cp:coreProperties>
</file>